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EA0E" w14:textId="77777777" w:rsidR="00DA00A6" w:rsidRPr="00665387" w:rsidRDefault="00DA00A6" w:rsidP="00B46C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The Grove Medical Centre</w:t>
      </w:r>
    </w:p>
    <w:p w14:paraId="27F8CFFD" w14:textId="4985E79E" w:rsidR="00DA00A6" w:rsidRPr="00665387" w:rsidRDefault="00EA4B5F" w:rsidP="00B46CE7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PPG </w:t>
      </w:r>
      <w:r w:rsidR="00A67D52">
        <w:rPr>
          <w:b/>
          <w:sz w:val="24"/>
        </w:rPr>
        <w:t xml:space="preserve">Meeting Minutes </w:t>
      </w:r>
      <w:r w:rsidR="00DB0F5A">
        <w:rPr>
          <w:b/>
          <w:sz w:val="24"/>
        </w:rPr>
        <w:t>– 04.07.22</w:t>
      </w:r>
    </w:p>
    <w:p w14:paraId="40B405C7" w14:textId="77777777" w:rsidR="006D4A07" w:rsidRPr="00CD1FF9" w:rsidRDefault="006D4A07" w:rsidP="00B24267">
      <w:pPr>
        <w:spacing w:after="0"/>
        <w:jc w:val="both"/>
        <w:rPr>
          <w:b/>
          <w:sz w:val="18"/>
          <w:szCs w:val="18"/>
        </w:rPr>
      </w:pPr>
    </w:p>
    <w:p w14:paraId="0558E7DD" w14:textId="206C48B6" w:rsidR="00DA00A6" w:rsidRDefault="00DA00A6" w:rsidP="00B24267">
      <w:pPr>
        <w:spacing w:after="0"/>
        <w:jc w:val="both"/>
        <w:rPr>
          <w:b/>
          <w:szCs w:val="21"/>
        </w:rPr>
      </w:pPr>
      <w:r w:rsidRPr="00C76D9C">
        <w:rPr>
          <w:b/>
          <w:szCs w:val="21"/>
        </w:rPr>
        <w:t>Present –</w:t>
      </w:r>
      <w:r w:rsidR="00721701">
        <w:rPr>
          <w:b/>
          <w:szCs w:val="21"/>
        </w:rPr>
        <w:t xml:space="preserve"> </w:t>
      </w:r>
      <w:r w:rsidR="00EA4B5F">
        <w:rPr>
          <w:b/>
          <w:szCs w:val="21"/>
        </w:rPr>
        <w:t>Brenda, Bridie, Donna, Gary, Karen</w:t>
      </w:r>
      <w:r w:rsidR="00DB0F5A">
        <w:rPr>
          <w:b/>
          <w:szCs w:val="21"/>
        </w:rPr>
        <w:t>, Pat</w:t>
      </w:r>
    </w:p>
    <w:p w14:paraId="7D5E5736" w14:textId="77777777" w:rsidR="00C2248D" w:rsidRDefault="00C2248D" w:rsidP="00DA00A6">
      <w:pPr>
        <w:spacing w:after="0"/>
        <w:rPr>
          <w:b/>
          <w:szCs w:val="21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9781"/>
      </w:tblGrid>
      <w:tr w:rsidR="00586476" w14:paraId="79FB2891" w14:textId="77777777" w:rsidTr="00586476">
        <w:tc>
          <w:tcPr>
            <w:tcW w:w="567" w:type="dxa"/>
          </w:tcPr>
          <w:p w14:paraId="47A031CA" w14:textId="77777777" w:rsidR="00586476" w:rsidRDefault="00586476">
            <w:pPr>
              <w:rPr>
                <w:b/>
              </w:rPr>
            </w:pPr>
          </w:p>
        </w:tc>
        <w:tc>
          <w:tcPr>
            <w:tcW w:w="9781" w:type="dxa"/>
          </w:tcPr>
          <w:p w14:paraId="67A2F31D" w14:textId="47630B27" w:rsidR="00586476" w:rsidRPr="00CE5DC9" w:rsidRDefault="00586476">
            <w:pPr>
              <w:rPr>
                <w:b/>
                <w:u w:val="single"/>
              </w:rPr>
            </w:pPr>
            <w:r w:rsidRPr="00CE5DC9">
              <w:rPr>
                <w:b/>
                <w:u w:val="single"/>
              </w:rPr>
              <w:t>Item</w:t>
            </w:r>
          </w:p>
        </w:tc>
      </w:tr>
      <w:tr w:rsidR="00586476" w14:paraId="559919C1" w14:textId="77777777" w:rsidTr="00586476">
        <w:tc>
          <w:tcPr>
            <w:tcW w:w="567" w:type="dxa"/>
            <w:vMerge w:val="restart"/>
          </w:tcPr>
          <w:p w14:paraId="767005B7" w14:textId="0F400016" w:rsidR="00586476" w:rsidRPr="002C5A63" w:rsidRDefault="00586476" w:rsidP="00A86C65">
            <w:pPr>
              <w:rPr>
                <w:b/>
              </w:rPr>
            </w:pPr>
            <w:r w:rsidRPr="002C5A63">
              <w:rPr>
                <w:b/>
              </w:rPr>
              <w:t>1.</w:t>
            </w:r>
          </w:p>
        </w:tc>
        <w:tc>
          <w:tcPr>
            <w:tcW w:w="9781" w:type="dxa"/>
          </w:tcPr>
          <w:p w14:paraId="42983704" w14:textId="3AD9D657" w:rsidR="00586476" w:rsidRPr="0034258D" w:rsidRDefault="00DB0F5A" w:rsidP="00EE132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Enhanced </w:t>
            </w:r>
            <w:r w:rsidR="00BB2BB6">
              <w:rPr>
                <w:rFonts w:cstheme="minorHAnsi"/>
                <w:b/>
              </w:rPr>
              <w:t>Access</w:t>
            </w:r>
          </w:p>
        </w:tc>
      </w:tr>
      <w:tr w:rsidR="00586476" w14:paraId="7D4F321D" w14:textId="77777777" w:rsidTr="00586476">
        <w:tc>
          <w:tcPr>
            <w:tcW w:w="567" w:type="dxa"/>
            <w:vMerge/>
          </w:tcPr>
          <w:p w14:paraId="33503372" w14:textId="6907384D" w:rsidR="00586476" w:rsidRPr="00A86C65" w:rsidRDefault="00586476" w:rsidP="00A86C65">
            <w:pPr>
              <w:rPr>
                <w:b/>
              </w:rPr>
            </w:pPr>
          </w:p>
        </w:tc>
        <w:tc>
          <w:tcPr>
            <w:tcW w:w="9781" w:type="dxa"/>
          </w:tcPr>
          <w:p w14:paraId="41675079" w14:textId="7204FAE5" w:rsidR="00CE47BF" w:rsidRDefault="00BB2BB6" w:rsidP="000619FD">
            <w:pPr>
              <w:rPr>
                <w:rFonts w:cstheme="minorHAnsi"/>
              </w:rPr>
            </w:pPr>
            <w:r>
              <w:rPr>
                <w:rFonts w:cstheme="minorHAnsi"/>
              </w:rPr>
              <w:t>Gary discussed Herts Health plans again for cross site, rotating hub from October 2022.</w:t>
            </w:r>
          </w:p>
          <w:p w14:paraId="441A0ABE" w14:textId="361AF610" w:rsidR="00BB2BB6" w:rsidRDefault="00BB2BB6" w:rsidP="000619FD">
            <w:pPr>
              <w:rPr>
                <w:rFonts w:cstheme="minorHAnsi"/>
              </w:rPr>
            </w:pPr>
          </w:p>
          <w:p w14:paraId="435E91E3" w14:textId="281F0C72" w:rsidR="00BB2BB6" w:rsidRDefault="00BB2BB6" w:rsidP="000619FD">
            <w:pPr>
              <w:rPr>
                <w:rFonts w:cstheme="minorHAnsi"/>
              </w:rPr>
            </w:pPr>
            <w:r>
              <w:rPr>
                <w:rFonts w:cstheme="minorHAnsi"/>
              </w:rPr>
              <w:t>He explained that the specification did not allow for the PCNs to move the operating hours outside of the network hours (Mon – Fri 6.30-8pm and Saturday 9am – 5pm) and the ICB/NHSE were not going to flex on this to allow Sunday mornings instead of Saturday afternoons.</w:t>
            </w:r>
          </w:p>
          <w:p w14:paraId="4A2D2830" w14:textId="416B8ACF" w:rsidR="00BB2BB6" w:rsidRDefault="00BB2BB6" w:rsidP="000619FD">
            <w:pPr>
              <w:rPr>
                <w:rFonts w:cstheme="minorHAnsi"/>
              </w:rPr>
            </w:pPr>
          </w:p>
          <w:p w14:paraId="55B90B14" w14:textId="33BC99B3" w:rsidR="00BB2BB6" w:rsidRDefault="00BB2BB6" w:rsidP="000619FD">
            <w:pPr>
              <w:rPr>
                <w:rFonts w:cstheme="minorHAnsi"/>
              </w:rPr>
            </w:pPr>
            <w:r>
              <w:rPr>
                <w:rFonts w:cstheme="minorHAnsi"/>
              </w:rPr>
              <w:t>Herts Health requested statements from the Practice and PPGs to support their case.</w:t>
            </w:r>
          </w:p>
          <w:p w14:paraId="656134D4" w14:textId="5D3489D2" w:rsidR="00BB2BB6" w:rsidRDefault="00BB2BB6" w:rsidP="000619FD">
            <w:pPr>
              <w:rPr>
                <w:rFonts w:cstheme="minorHAnsi"/>
              </w:rPr>
            </w:pPr>
          </w:p>
          <w:p w14:paraId="43983134" w14:textId="30801A89" w:rsidR="00BB2BB6" w:rsidRPr="00CE47BF" w:rsidRDefault="00BB2BB6" w:rsidP="000619FD">
            <w:pPr>
              <w:rPr>
                <w:rFonts w:cstheme="minorHAnsi"/>
              </w:rPr>
            </w:pPr>
            <w:r>
              <w:rPr>
                <w:rFonts w:cstheme="minorHAnsi"/>
              </w:rPr>
              <w:t>Karen and Pat agreed to provide a statement. Pat agreed to ask her colleagues I the council to support the case too.</w:t>
            </w:r>
          </w:p>
          <w:p w14:paraId="26D25E21" w14:textId="3CA39614" w:rsidR="00CE47BF" w:rsidRPr="00CE47BF" w:rsidRDefault="00CE47BF" w:rsidP="000619FD">
            <w:pPr>
              <w:rPr>
                <w:rFonts w:cstheme="minorHAnsi"/>
              </w:rPr>
            </w:pPr>
          </w:p>
        </w:tc>
      </w:tr>
      <w:tr w:rsidR="00586476" w14:paraId="31204252" w14:textId="77777777" w:rsidTr="00586476">
        <w:tc>
          <w:tcPr>
            <w:tcW w:w="567" w:type="dxa"/>
            <w:vMerge/>
          </w:tcPr>
          <w:p w14:paraId="77D2686D" w14:textId="2BE5D741" w:rsidR="00586476" w:rsidRDefault="00586476" w:rsidP="00A86C65">
            <w:pPr>
              <w:rPr>
                <w:b/>
              </w:rPr>
            </w:pPr>
          </w:p>
        </w:tc>
        <w:tc>
          <w:tcPr>
            <w:tcW w:w="9781" w:type="dxa"/>
          </w:tcPr>
          <w:p w14:paraId="5A814C9B" w14:textId="1BE26FA7" w:rsidR="00586476" w:rsidRDefault="00586476" w:rsidP="007B0A12">
            <w:pPr>
              <w:rPr>
                <w:rFonts w:cstheme="minorHAnsi"/>
              </w:rPr>
            </w:pPr>
            <w:r w:rsidRPr="0034258D">
              <w:rPr>
                <w:rFonts w:cstheme="minorHAnsi"/>
                <w:u w:val="single"/>
              </w:rPr>
              <w:t>Action:</w:t>
            </w:r>
            <w:r w:rsidR="00953AF3" w:rsidRPr="0034258D">
              <w:rPr>
                <w:rFonts w:cstheme="minorHAnsi"/>
              </w:rPr>
              <w:t xml:space="preserve"> </w:t>
            </w:r>
            <w:r w:rsidR="00BB2BB6">
              <w:rPr>
                <w:rFonts w:cstheme="minorHAnsi"/>
              </w:rPr>
              <w:t>Karen and Pat to provide statements</w:t>
            </w:r>
          </w:p>
          <w:p w14:paraId="5DFD1B7A" w14:textId="7E4FE7EC" w:rsidR="00EA4B5F" w:rsidRPr="0034258D" w:rsidRDefault="00EA4B5F" w:rsidP="007B0A12">
            <w:pPr>
              <w:rPr>
                <w:rFonts w:cstheme="minorHAnsi"/>
              </w:rPr>
            </w:pPr>
          </w:p>
        </w:tc>
      </w:tr>
      <w:tr w:rsidR="00586476" w14:paraId="53B36CF3" w14:textId="77777777" w:rsidTr="00586476">
        <w:tc>
          <w:tcPr>
            <w:tcW w:w="567" w:type="dxa"/>
            <w:vMerge w:val="restart"/>
          </w:tcPr>
          <w:p w14:paraId="624271A7" w14:textId="3AEC5196" w:rsidR="00586476" w:rsidRPr="00A86C65" w:rsidRDefault="00586476" w:rsidP="002C5A63">
            <w:pPr>
              <w:rPr>
                <w:b/>
              </w:rPr>
            </w:pPr>
            <w:r>
              <w:rPr>
                <w:b/>
              </w:rPr>
              <w:t>2</w:t>
            </w:r>
            <w:r w:rsidRPr="002C5A63">
              <w:rPr>
                <w:b/>
              </w:rPr>
              <w:t>.</w:t>
            </w:r>
          </w:p>
        </w:tc>
        <w:tc>
          <w:tcPr>
            <w:tcW w:w="9781" w:type="dxa"/>
          </w:tcPr>
          <w:p w14:paraId="2A0EFBE5" w14:textId="630FA618" w:rsidR="00586476" w:rsidRPr="00CF2287" w:rsidRDefault="00BB2BB6" w:rsidP="00953AF3">
            <w:pPr>
              <w:rPr>
                <w:b/>
              </w:rPr>
            </w:pPr>
            <w:r>
              <w:rPr>
                <w:b/>
              </w:rPr>
              <w:t>Patient information leaflet</w:t>
            </w:r>
            <w:r w:rsidR="00A90BCF">
              <w:rPr>
                <w:b/>
              </w:rPr>
              <w:t xml:space="preserve"> for PPG recruitment</w:t>
            </w:r>
          </w:p>
        </w:tc>
      </w:tr>
      <w:tr w:rsidR="00586476" w14:paraId="28906A07" w14:textId="77777777" w:rsidTr="00586476">
        <w:tc>
          <w:tcPr>
            <w:tcW w:w="567" w:type="dxa"/>
            <w:vMerge/>
          </w:tcPr>
          <w:p w14:paraId="5764A6B1" w14:textId="4B454AA4" w:rsidR="00586476" w:rsidRDefault="00586476">
            <w:pPr>
              <w:rPr>
                <w:b/>
              </w:rPr>
            </w:pPr>
          </w:p>
        </w:tc>
        <w:tc>
          <w:tcPr>
            <w:tcW w:w="9781" w:type="dxa"/>
          </w:tcPr>
          <w:p w14:paraId="466DD403" w14:textId="41365E96" w:rsidR="00EC7AEC" w:rsidRDefault="00A90BCF" w:rsidP="001374DD">
            <w:r>
              <w:t xml:space="preserve">Bridie suggested to look at the reading scale </w:t>
            </w:r>
            <w:r w:rsidR="009B1B15">
              <w:t>within word in</w:t>
            </w:r>
            <w:r>
              <w:t xml:space="preserve"> the PIL</w:t>
            </w:r>
            <w:r w:rsidR="009B1B15">
              <w:t xml:space="preserve"> as some of the wording may not be user friendly. This will help understand whether the document is easy to understand.</w:t>
            </w:r>
          </w:p>
          <w:p w14:paraId="5DD771F0" w14:textId="3268B412" w:rsidR="009B1B15" w:rsidRDefault="009B1B15" w:rsidP="001374DD"/>
          <w:p w14:paraId="75D0E596" w14:textId="7ACA571A" w:rsidR="009B1B15" w:rsidRDefault="009B1B15" w:rsidP="001374DD">
            <w:r>
              <w:t>It was noted that the word ‘perceived’ should be replaced.</w:t>
            </w:r>
          </w:p>
          <w:p w14:paraId="3F7C8691" w14:textId="77777777" w:rsidR="009B1B15" w:rsidRDefault="009B1B15" w:rsidP="001374DD"/>
          <w:p w14:paraId="48F106DC" w14:textId="6682EA0C" w:rsidR="009B1B15" w:rsidRDefault="009B1B15" w:rsidP="001374DD">
            <w:r>
              <w:t>It was suggested to add generic PPG info (for all Practices) in the town crier to help promote PPGs.</w:t>
            </w:r>
          </w:p>
          <w:p w14:paraId="4B5BB6E8" w14:textId="458867B3" w:rsidR="001374DD" w:rsidRPr="00A42EAB" w:rsidRDefault="001374DD" w:rsidP="001374DD"/>
        </w:tc>
      </w:tr>
      <w:tr w:rsidR="00586476" w14:paraId="345BF799" w14:textId="77777777" w:rsidTr="00586476">
        <w:tc>
          <w:tcPr>
            <w:tcW w:w="567" w:type="dxa"/>
            <w:vMerge/>
          </w:tcPr>
          <w:p w14:paraId="25679613" w14:textId="3AA54716" w:rsidR="00586476" w:rsidRDefault="00586476" w:rsidP="002C5A63">
            <w:pPr>
              <w:rPr>
                <w:b/>
              </w:rPr>
            </w:pPr>
          </w:p>
        </w:tc>
        <w:tc>
          <w:tcPr>
            <w:tcW w:w="9781" w:type="dxa"/>
          </w:tcPr>
          <w:p w14:paraId="2ADD6435" w14:textId="323731AC" w:rsidR="00586476" w:rsidRDefault="00586476" w:rsidP="00691E55">
            <w:r w:rsidRPr="00570DE3">
              <w:rPr>
                <w:u w:val="single"/>
              </w:rPr>
              <w:t>Action:</w:t>
            </w:r>
            <w:r>
              <w:t xml:space="preserve"> </w:t>
            </w:r>
            <w:r w:rsidR="009B1B15">
              <w:t>Gary to look at reading scale and amend the word ‘perceived’</w:t>
            </w:r>
          </w:p>
          <w:p w14:paraId="11F50AAE" w14:textId="078D50B7" w:rsidR="00586476" w:rsidRPr="002C5A63" w:rsidRDefault="00586476" w:rsidP="00691E55"/>
        </w:tc>
      </w:tr>
      <w:tr w:rsidR="00905853" w14:paraId="60F10AEB" w14:textId="77777777" w:rsidTr="00586476">
        <w:tc>
          <w:tcPr>
            <w:tcW w:w="567" w:type="dxa"/>
            <w:vMerge w:val="restart"/>
          </w:tcPr>
          <w:p w14:paraId="67AA39C5" w14:textId="1447FF7B" w:rsidR="00905853" w:rsidRDefault="00905853" w:rsidP="00905853">
            <w:pPr>
              <w:rPr>
                <w:b/>
              </w:rPr>
            </w:pPr>
            <w:r>
              <w:rPr>
                <w:b/>
              </w:rPr>
              <w:t>3</w:t>
            </w:r>
            <w:r w:rsidRPr="002C5A63">
              <w:rPr>
                <w:b/>
              </w:rPr>
              <w:t>.</w:t>
            </w:r>
          </w:p>
        </w:tc>
        <w:tc>
          <w:tcPr>
            <w:tcW w:w="9781" w:type="dxa"/>
          </w:tcPr>
          <w:p w14:paraId="087739CC" w14:textId="7E9CE0A6" w:rsidR="00905853" w:rsidRDefault="0035192D" w:rsidP="00905853">
            <w:pPr>
              <w:rPr>
                <w:b/>
              </w:rPr>
            </w:pPr>
            <w:r>
              <w:rPr>
                <w:b/>
              </w:rPr>
              <w:t>Website</w:t>
            </w:r>
          </w:p>
        </w:tc>
      </w:tr>
      <w:tr w:rsidR="00905853" w14:paraId="5F459CBB" w14:textId="77777777" w:rsidTr="00586476">
        <w:tc>
          <w:tcPr>
            <w:tcW w:w="567" w:type="dxa"/>
            <w:vMerge/>
          </w:tcPr>
          <w:p w14:paraId="1A3CC1F9" w14:textId="77777777" w:rsidR="00905853" w:rsidRDefault="00905853" w:rsidP="00905853">
            <w:pPr>
              <w:rPr>
                <w:b/>
              </w:rPr>
            </w:pPr>
          </w:p>
        </w:tc>
        <w:tc>
          <w:tcPr>
            <w:tcW w:w="9781" w:type="dxa"/>
          </w:tcPr>
          <w:p w14:paraId="4A7358FC" w14:textId="392CAE7B" w:rsidR="00905853" w:rsidRDefault="0035192D" w:rsidP="00905853">
            <w:pPr>
              <w:rPr>
                <w:bCs/>
              </w:rPr>
            </w:pPr>
            <w:r>
              <w:rPr>
                <w:bCs/>
              </w:rPr>
              <w:t xml:space="preserve">The PPG will meet </w:t>
            </w:r>
            <w:r w:rsidR="000A61CA">
              <w:rPr>
                <w:bCs/>
              </w:rPr>
              <w:t>on 25</w:t>
            </w:r>
            <w:r w:rsidR="000A61CA" w:rsidRPr="000A61CA">
              <w:rPr>
                <w:bCs/>
                <w:vertAlign w:val="superscript"/>
              </w:rPr>
              <w:t>th</w:t>
            </w:r>
            <w:r w:rsidR="000A61CA">
              <w:rPr>
                <w:bCs/>
              </w:rPr>
              <w:t xml:space="preserve"> July </w:t>
            </w:r>
            <w:r>
              <w:rPr>
                <w:bCs/>
              </w:rPr>
              <w:t>to dissect the website later in July. They will report the findings back to Gary/Donna/Gina.</w:t>
            </w:r>
          </w:p>
          <w:p w14:paraId="7A1AE371" w14:textId="74946E7E" w:rsidR="0035192D" w:rsidRDefault="0035192D" w:rsidP="00905853">
            <w:pPr>
              <w:rPr>
                <w:bCs/>
              </w:rPr>
            </w:pPr>
          </w:p>
          <w:p w14:paraId="7D5FCF21" w14:textId="022E71B7" w:rsidR="0035192D" w:rsidRDefault="0035192D" w:rsidP="00905853">
            <w:pPr>
              <w:rPr>
                <w:bCs/>
              </w:rPr>
            </w:pPr>
            <w:r>
              <w:rPr>
                <w:bCs/>
              </w:rPr>
              <w:t>The Practice should consider engagement for the patients who are not so tech savvy.</w:t>
            </w:r>
          </w:p>
          <w:p w14:paraId="4ACD2277" w14:textId="3AB016C9" w:rsidR="000A61CA" w:rsidRDefault="000A61CA" w:rsidP="00905853">
            <w:pPr>
              <w:rPr>
                <w:bCs/>
              </w:rPr>
            </w:pPr>
          </w:p>
          <w:p w14:paraId="1066E88D" w14:textId="74B3D035" w:rsidR="000A61CA" w:rsidRPr="00905853" w:rsidRDefault="000A61CA" w:rsidP="00905853">
            <w:pPr>
              <w:rPr>
                <w:bCs/>
              </w:rPr>
            </w:pPr>
            <w:r>
              <w:rPr>
                <w:bCs/>
              </w:rPr>
              <w:t>Potentially look at data traffic on the website to understand footfall.</w:t>
            </w:r>
          </w:p>
          <w:p w14:paraId="27EA36D0" w14:textId="7D107382" w:rsidR="00905853" w:rsidRDefault="00905853" w:rsidP="00905853">
            <w:pPr>
              <w:rPr>
                <w:b/>
              </w:rPr>
            </w:pPr>
          </w:p>
        </w:tc>
      </w:tr>
      <w:tr w:rsidR="00905853" w14:paraId="768F0290" w14:textId="77777777" w:rsidTr="00586476">
        <w:tc>
          <w:tcPr>
            <w:tcW w:w="567" w:type="dxa"/>
            <w:vMerge/>
          </w:tcPr>
          <w:p w14:paraId="0C9AA39A" w14:textId="77777777" w:rsidR="00905853" w:rsidRDefault="00905853" w:rsidP="00905853">
            <w:pPr>
              <w:rPr>
                <w:b/>
              </w:rPr>
            </w:pPr>
          </w:p>
        </w:tc>
        <w:tc>
          <w:tcPr>
            <w:tcW w:w="9781" w:type="dxa"/>
          </w:tcPr>
          <w:p w14:paraId="4923AFFB" w14:textId="3445686F" w:rsidR="00905853" w:rsidRDefault="00905853" w:rsidP="00905853">
            <w:r w:rsidRPr="00570DE3">
              <w:rPr>
                <w:u w:val="single"/>
              </w:rPr>
              <w:t>Action:</w:t>
            </w:r>
            <w:r>
              <w:t xml:space="preserve"> </w:t>
            </w:r>
            <w:r w:rsidR="00EA4B5F">
              <w:rPr>
                <w:rFonts w:cstheme="minorHAnsi"/>
              </w:rPr>
              <w:t xml:space="preserve">PPG </w:t>
            </w:r>
            <w:r w:rsidR="0035192D">
              <w:rPr>
                <w:rFonts w:cstheme="minorHAnsi"/>
              </w:rPr>
              <w:t>to identify improvements to the website and discuss ways to engage non tech savvy patients</w:t>
            </w:r>
          </w:p>
          <w:p w14:paraId="2383137A" w14:textId="77777777" w:rsidR="00905853" w:rsidRDefault="00905853" w:rsidP="00905853">
            <w:pPr>
              <w:rPr>
                <w:b/>
              </w:rPr>
            </w:pPr>
          </w:p>
        </w:tc>
      </w:tr>
      <w:tr w:rsidR="00905853" w14:paraId="0BA8E2C0" w14:textId="77777777" w:rsidTr="00586476">
        <w:tc>
          <w:tcPr>
            <w:tcW w:w="567" w:type="dxa"/>
            <w:vMerge w:val="restart"/>
          </w:tcPr>
          <w:p w14:paraId="369AAF7D" w14:textId="7D24AC96" w:rsidR="00905853" w:rsidRPr="00EA4B5F" w:rsidRDefault="00905853" w:rsidP="00905853">
            <w:pPr>
              <w:rPr>
                <w:bCs/>
              </w:rPr>
            </w:pPr>
            <w:r w:rsidRPr="00EA4B5F">
              <w:rPr>
                <w:bCs/>
              </w:rPr>
              <w:t>4.</w:t>
            </w:r>
          </w:p>
        </w:tc>
        <w:tc>
          <w:tcPr>
            <w:tcW w:w="9781" w:type="dxa"/>
          </w:tcPr>
          <w:p w14:paraId="674B0FD2" w14:textId="32DB186C" w:rsidR="00905853" w:rsidRPr="00E957A0" w:rsidRDefault="0035192D" w:rsidP="00905853">
            <w:pPr>
              <w:rPr>
                <w:b/>
              </w:rPr>
            </w:pPr>
            <w:r>
              <w:rPr>
                <w:b/>
              </w:rPr>
              <w:t>Newsletter</w:t>
            </w:r>
          </w:p>
        </w:tc>
      </w:tr>
      <w:tr w:rsidR="00905853" w14:paraId="4121CA7D" w14:textId="77777777" w:rsidTr="00586476">
        <w:tc>
          <w:tcPr>
            <w:tcW w:w="567" w:type="dxa"/>
            <w:vMerge/>
          </w:tcPr>
          <w:p w14:paraId="4736784F" w14:textId="49B664AF" w:rsidR="00905853" w:rsidRDefault="00905853" w:rsidP="00905853">
            <w:pPr>
              <w:rPr>
                <w:b/>
              </w:rPr>
            </w:pPr>
          </w:p>
        </w:tc>
        <w:tc>
          <w:tcPr>
            <w:tcW w:w="9781" w:type="dxa"/>
          </w:tcPr>
          <w:p w14:paraId="27F352D7" w14:textId="47BA8699" w:rsidR="007139D2" w:rsidRDefault="000A61CA" w:rsidP="000A61CA">
            <w:pPr>
              <w:rPr>
                <w:lang w:val="en-US"/>
              </w:rPr>
            </w:pPr>
            <w:r>
              <w:rPr>
                <w:lang w:val="en-US"/>
              </w:rPr>
              <w:t>The PPG will a</w:t>
            </w:r>
            <w:r w:rsidRPr="000A61CA">
              <w:rPr>
                <w:lang w:val="en-US"/>
              </w:rPr>
              <w:t>im to release the newsletter in</w:t>
            </w:r>
            <w:r>
              <w:rPr>
                <w:lang w:val="en-US"/>
              </w:rPr>
              <w:t xml:space="preserve"> August and then every three months.</w:t>
            </w:r>
          </w:p>
          <w:p w14:paraId="3D583B5D" w14:textId="7CEA4356" w:rsidR="000A61CA" w:rsidRDefault="000A61CA" w:rsidP="000A61CA">
            <w:pPr>
              <w:rPr>
                <w:lang w:val="en-US"/>
              </w:rPr>
            </w:pPr>
          </w:p>
          <w:p w14:paraId="4226314E" w14:textId="27332B83" w:rsidR="000A61CA" w:rsidRDefault="000A61CA" w:rsidP="000A61CA">
            <w:pPr>
              <w:rPr>
                <w:lang w:val="en-US"/>
              </w:rPr>
            </w:pPr>
            <w:r>
              <w:rPr>
                <w:lang w:val="en-US"/>
              </w:rPr>
              <w:t>To include details around:</w:t>
            </w:r>
          </w:p>
          <w:p w14:paraId="7118F8B5" w14:textId="31477458" w:rsidR="000A61CA" w:rsidRDefault="000A61CA" w:rsidP="000A61CA">
            <w:pPr>
              <w:rPr>
                <w:lang w:val="en-US"/>
              </w:rPr>
            </w:pPr>
            <w:r>
              <w:rPr>
                <w:lang w:val="en-US"/>
              </w:rPr>
              <w:t>Results protocols</w:t>
            </w:r>
          </w:p>
          <w:p w14:paraId="1D472DCF" w14:textId="46668926" w:rsidR="000A61CA" w:rsidRDefault="000A61CA" w:rsidP="000A61CA">
            <w:pPr>
              <w:rPr>
                <w:lang w:val="en-US"/>
              </w:rPr>
            </w:pPr>
            <w:r>
              <w:rPr>
                <w:lang w:val="en-US"/>
              </w:rPr>
              <w:t>Social prescriber – maybe focus on cost of living + help with finances</w:t>
            </w:r>
          </w:p>
          <w:p w14:paraId="479FBAAE" w14:textId="4670D5F9" w:rsidR="000A61CA" w:rsidRDefault="000A61CA" w:rsidP="000A61CA">
            <w:pPr>
              <w:rPr>
                <w:lang w:val="en-US"/>
              </w:rPr>
            </w:pPr>
            <w:r>
              <w:rPr>
                <w:lang w:val="en-US"/>
              </w:rPr>
              <w:t>Mental health services (Ona + Zarina/Ivy)</w:t>
            </w:r>
          </w:p>
          <w:p w14:paraId="71CD9EB3" w14:textId="24753337" w:rsidR="000A61CA" w:rsidRDefault="000A61CA" w:rsidP="000A61CA">
            <w:pPr>
              <w:rPr>
                <w:lang w:val="en-US"/>
              </w:rPr>
            </w:pPr>
            <w:r>
              <w:rPr>
                <w:lang w:val="en-US"/>
              </w:rPr>
              <w:t>Cancer screening</w:t>
            </w:r>
          </w:p>
          <w:p w14:paraId="3F3A814C" w14:textId="2FD4150F" w:rsidR="000A61CA" w:rsidRPr="000A61CA" w:rsidRDefault="000A61CA" w:rsidP="000A61CA">
            <w:pPr>
              <w:rPr>
                <w:lang w:val="en-US"/>
              </w:rPr>
            </w:pPr>
            <w:r>
              <w:rPr>
                <w:lang w:val="en-US"/>
              </w:rPr>
              <w:t>A section with a GP statement</w:t>
            </w:r>
            <w:r w:rsidR="00B33ACC">
              <w:rPr>
                <w:lang w:val="en-US"/>
              </w:rPr>
              <w:t xml:space="preserve"> – From Andrew as PPG lead</w:t>
            </w:r>
          </w:p>
          <w:p w14:paraId="3CBDC132" w14:textId="77777777" w:rsidR="007139D2" w:rsidRPr="007139D2" w:rsidRDefault="007139D2" w:rsidP="007139D2">
            <w:pPr>
              <w:pStyle w:val="ListParagraph"/>
              <w:rPr>
                <w:lang w:val="en-US"/>
              </w:rPr>
            </w:pPr>
          </w:p>
          <w:p w14:paraId="0FB237DF" w14:textId="68A66DD7" w:rsidR="00905853" w:rsidRPr="003614C8" w:rsidRDefault="00905853" w:rsidP="000A61CA">
            <w:pPr>
              <w:rPr>
                <w:rFonts w:cstheme="minorHAnsi"/>
              </w:rPr>
            </w:pPr>
          </w:p>
        </w:tc>
      </w:tr>
      <w:tr w:rsidR="00905853" w14:paraId="7010D798" w14:textId="77777777" w:rsidTr="00586476">
        <w:tc>
          <w:tcPr>
            <w:tcW w:w="567" w:type="dxa"/>
            <w:vMerge/>
          </w:tcPr>
          <w:p w14:paraId="5E0357C5" w14:textId="66149DC6" w:rsidR="00905853" w:rsidRPr="00D46E20" w:rsidRDefault="00905853" w:rsidP="00905853">
            <w:pPr>
              <w:rPr>
                <w:b/>
              </w:rPr>
            </w:pPr>
          </w:p>
        </w:tc>
        <w:tc>
          <w:tcPr>
            <w:tcW w:w="9781" w:type="dxa"/>
          </w:tcPr>
          <w:p w14:paraId="0A5A20D2" w14:textId="2BA6530E" w:rsidR="00905853" w:rsidRDefault="00905853" w:rsidP="00905853">
            <w:r w:rsidRPr="00570DE3">
              <w:rPr>
                <w:u w:val="single"/>
              </w:rPr>
              <w:t>Action:</w:t>
            </w:r>
            <w:r>
              <w:t xml:space="preserve"> </w:t>
            </w:r>
            <w:r w:rsidR="000A61CA">
              <w:t>PPG to design</w:t>
            </w:r>
            <w:r w:rsidR="00B33ACC">
              <w:t>. Grove to input</w:t>
            </w:r>
          </w:p>
          <w:p w14:paraId="414AF769" w14:textId="14949FCB" w:rsidR="00905853" w:rsidRPr="00D46E20" w:rsidRDefault="00905853" w:rsidP="00905853">
            <w:pPr>
              <w:rPr>
                <w:b/>
              </w:rPr>
            </w:pPr>
          </w:p>
        </w:tc>
      </w:tr>
      <w:tr w:rsidR="00905853" w14:paraId="61845AD2" w14:textId="77777777" w:rsidTr="00586476">
        <w:tc>
          <w:tcPr>
            <w:tcW w:w="567" w:type="dxa"/>
            <w:vMerge w:val="restart"/>
          </w:tcPr>
          <w:p w14:paraId="512BCEB7" w14:textId="63F67C19" w:rsidR="00905853" w:rsidRDefault="00905853" w:rsidP="00905853">
            <w:pPr>
              <w:rPr>
                <w:b/>
              </w:rPr>
            </w:pPr>
            <w:r>
              <w:rPr>
                <w:b/>
              </w:rPr>
              <w:t>5</w:t>
            </w:r>
            <w:r w:rsidRPr="002C5A63">
              <w:rPr>
                <w:b/>
              </w:rPr>
              <w:t>.</w:t>
            </w:r>
          </w:p>
        </w:tc>
        <w:tc>
          <w:tcPr>
            <w:tcW w:w="9781" w:type="dxa"/>
          </w:tcPr>
          <w:p w14:paraId="18A61CEC" w14:textId="0B81296C" w:rsidR="00905853" w:rsidRPr="00E957A0" w:rsidRDefault="00EA4B5F" w:rsidP="00905853">
            <w:pPr>
              <w:rPr>
                <w:b/>
              </w:rPr>
            </w:pPr>
            <w:r>
              <w:rPr>
                <w:b/>
              </w:rPr>
              <w:t>Results Protocol</w:t>
            </w:r>
            <w:r w:rsidR="00B33ACC">
              <w:rPr>
                <w:b/>
              </w:rPr>
              <w:t xml:space="preserve"> update</w:t>
            </w:r>
          </w:p>
        </w:tc>
      </w:tr>
      <w:tr w:rsidR="00905853" w14:paraId="1F43B4D2" w14:textId="77777777" w:rsidTr="00586476">
        <w:tc>
          <w:tcPr>
            <w:tcW w:w="567" w:type="dxa"/>
            <w:vMerge/>
          </w:tcPr>
          <w:p w14:paraId="063872BC" w14:textId="305066FB" w:rsidR="00905853" w:rsidRDefault="00905853" w:rsidP="00905853">
            <w:pPr>
              <w:rPr>
                <w:b/>
              </w:rPr>
            </w:pPr>
          </w:p>
        </w:tc>
        <w:tc>
          <w:tcPr>
            <w:tcW w:w="9781" w:type="dxa"/>
          </w:tcPr>
          <w:p w14:paraId="681DC489" w14:textId="0DC4C661" w:rsidR="00905853" w:rsidRDefault="00B33ACC" w:rsidP="001E5946">
            <w:r>
              <w:t xml:space="preserve">Gary explained that Dr Schapira has developed the clinical protocols and is now looking at the communication to the patients, such as a patient information leaflet on the new process (which will be </w:t>
            </w:r>
            <w:r>
              <w:lastRenderedPageBreak/>
              <w:t>given to all patients who have a blood test), the patient information leaflet regarding each result, and the template letter/SMS that will accompany the patient information leaflet.</w:t>
            </w:r>
          </w:p>
          <w:p w14:paraId="50FB343B" w14:textId="500F8FBA" w:rsidR="00B33ACC" w:rsidRDefault="00B33ACC" w:rsidP="001E5946"/>
          <w:p w14:paraId="0009B9AD" w14:textId="2095DB74" w:rsidR="00B33ACC" w:rsidRDefault="00B33ACC" w:rsidP="001E5946">
            <w:r>
              <w:t>The Practice will provide these to the PPG once complete.</w:t>
            </w:r>
          </w:p>
          <w:p w14:paraId="3E9658AF" w14:textId="46F9617D" w:rsidR="00B33ACC" w:rsidRPr="009F6BCE" w:rsidRDefault="00B33ACC" w:rsidP="001E5946"/>
        </w:tc>
      </w:tr>
      <w:tr w:rsidR="00905853" w14:paraId="61885CF5" w14:textId="77777777" w:rsidTr="00586476">
        <w:tc>
          <w:tcPr>
            <w:tcW w:w="567" w:type="dxa"/>
            <w:vMerge/>
          </w:tcPr>
          <w:p w14:paraId="4861F620" w14:textId="740B0162" w:rsidR="00905853" w:rsidRDefault="00905853" w:rsidP="00905853">
            <w:pPr>
              <w:rPr>
                <w:b/>
              </w:rPr>
            </w:pPr>
          </w:p>
        </w:tc>
        <w:tc>
          <w:tcPr>
            <w:tcW w:w="9781" w:type="dxa"/>
          </w:tcPr>
          <w:p w14:paraId="69C9ED57" w14:textId="4B4AC06C" w:rsidR="00905853" w:rsidRDefault="00905853" w:rsidP="00905853">
            <w:r>
              <w:rPr>
                <w:u w:val="single"/>
              </w:rPr>
              <w:t>Action:</w:t>
            </w:r>
            <w:r>
              <w:t xml:space="preserve"> </w:t>
            </w:r>
            <w:r w:rsidR="00B33ACC">
              <w:t>N/A</w:t>
            </w:r>
          </w:p>
          <w:p w14:paraId="712C05DC" w14:textId="7BA0FAFE" w:rsidR="00905853" w:rsidRPr="002C5A63" w:rsidRDefault="00905853" w:rsidP="00905853"/>
        </w:tc>
      </w:tr>
    </w:tbl>
    <w:p w14:paraId="5ACAA871" w14:textId="1F11AF01" w:rsidR="0024482F" w:rsidRDefault="0024482F" w:rsidP="00CF4F05"/>
    <w:sectPr w:rsidR="0024482F" w:rsidSect="006D4A07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765"/>
    <w:multiLevelType w:val="hybridMultilevel"/>
    <w:tmpl w:val="F76EE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3CF"/>
    <w:multiLevelType w:val="hybridMultilevel"/>
    <w:tmpl w:val="B7E2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96D"/>
    <w:multiLevelType w:val="hybridMultilevel"/>
    <w:tmpl w:val="7558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F7A5D"/>
    <w:multiLevelType w:val="hybridMultilevel"/>
    <w:tmpl w:val="1040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618"/>
    <w:multiLevelType w:val="hybridMultilevel"/>
    <w:tmpl w:val="97B4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4683E"/>
    <w:multiLevelType w:val="hybridMultilevel"/>
    <w:tmpl w:val="A69A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A40EC"/>
    <w:multiLevelType w:val="hybridMultilevel"/>
    <w:tmpl w:val="897606B6"/>
    <w:lvl w:ilvl="0" w:tplc="68342E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BA5A34"/>
    <w:multiLevelType w:val="hybridMultilevel"/>
    <w:tmpl w:val="954E4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16A15"/>
    <w:multiLevelType w:val="hybridMultilevel"/>
    <w:tmpl w:val="584A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467D0"/>
    <w:multiLevelType w:val="hybridMultilevel"/>
    <w:tmpl w:val="E546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062C0"/>
    <w:multiLevelType w:val="hybridMultilevel"/>
    <w:tmpl w:val="9CDE9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7278E"/>
    <w:multiLevelType w:val="hybridMultilevel"/>
    <w:tmpl w:val="7AAEEC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303F"/>
    <w:multiLevelType w:val="hybridMultilevel"/>
    <w:tmpl w:val="4D22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7475"/>
    <w:multiLevelType w:val="hybridMultilevel"/>
    <w:tmpl w:val="6CC2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506E8"/>
    <w:multiLevelType w:val="hybridMultilevel"/>
    <w:tmpl w:val="E46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F16F9"/>
    <w:multiLevelType w:val="hybridMultilevel"/>
    <w:tmpl w:val="E12E4C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D662E7"/>
    <w:multiLevelType w:val="hybridMultilevel"/>
    <w:tmpl w:val="CF581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10972">
    <w:abstractNumId w:val="10"/>
  </w:num>
  <w:num w:numId="2" w16cid:durableId="1176923994">
    <w:abstractNumId w:val="15"/>
  </w:num>
  <w:num w:numId="3" w16cid:durableId="1687828245">
    <w:abstractNumId w:val="16"/>
  </w:num>
  <w:num w:numId="4" w16cid:durableId="1152721532">
    <w:abstractNumId w:val="13"/>
  </w:num>
  <w:num w:numId="5" w16cid:durableId="70280483">
    <w:abstractNumId w:val="0"/>
  </w:num>
  <w:num w:numId="6" w16cid:durableId="559946644">
    <w:abstractNumId w:val="4"/>
  </w:num>
  <w:num w:numId="7" w16cid:durableId="1676223782">
    <w:abstractNumId w:val="12"/>
  </w:num>
  <w:num w:numId="8" w16cid:durableId="658071094">
    <w:abstractNumId w:val="2"/>
  </w:num>
  <w:num w:numId="9" w16cid:durableId="18168503">
    <w:abstractNumId w:val="8"/>
  </w:num>
  <w:num w:numId="10" w16cid:durableId="927890755">
    <w:abstractNumId w:val="3"/>
  </w:num>
  <w:num w:numId="11" w16cid:durableId="447234936">
    <w:abstractNumId w:val="1"/>
  </w:num>
  <w:num w:numId="12" w16cid:durableId="1084111570">
    <w:abstractNumId w:val="14"/>
  </w:num>
  <w:num w:numId="13" w16cid:durableId="731389515">
    <w:abstractNumId w:val="5"/>
  </w:num>
  <w:num w:numId="14" w16cid:durableId="688603316">
    <w:abstractNumId w:val="9"/>
  </w:num>
  <w:num w:numId="15" w16cid:durableId="969558001">
    <w:abstractNumId w:val="11"/>
  </w:num>
  <w:num w:numId="16" w16cid:durableId="164134558">
    <w:abstractNumId w:val="7"/>
  </w:num>
  <w:num w:numId="17" w16cid:durableId="1281453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5"/>
    <w:rsid w:val="000215DF"/>
    <w:rsid w:val="000247A2"/>
    <w:rsid w:val="00024AD4"/>
    <w:rsid w:val="000330BB"/>
    <w:rsid w:val="000619FD"/>
    <w:rsid w:val="00070647"/>
    <w:rsid w:val="000727E1"/>
    <w:rsid w:val="0008115E"/>
    <w:rsid w:val="00081F4B"/>
    <w:rsid w:val="0008202B"/>
    <w:rsid w:val="000A0EE3"/>
    <w:rsid w:val="000A43EB"/>
    <w:rsid w:val="000A61CA"/>
    <w:rsid w:val="000A6E4E"/>
    <w:rsid w:val="000B064C"/>
    <w:rsid w:val="000B483E"/>
    <w:rsid w:val="000B60AF"/>
    <w:rsid w:val="000C01B2"/>
    <w:rsid w:val="000E495E"/>
    <w:rsid w:val="000F171E"/>
    <w:rsid w:val="000F4AC2"/>
    <w:rsid w:val="000F7B34"/>
    <w:rsid w:val="00104C56"/>
    <w:rsid w:val="00107FF2"/>
    <w:rsid w:val="00116113"/>
    <w:rsid w:val="0012018D"/>
    <w:rsid w:val="001374DD"/>
    <w:rsid w:val="001416F8"/>
    <w:rsid w:val="00160649"/>
    <w:rsid w:val="00163928"/>
    <w:rsid w:val="00167FDA"/>
    <w:rsid w:val="00170FAC"/>
    <w:rsid w:val="00175655"/>
    <w:rsid w:val="00176FDC"/>
    <w:rsid w:val="001A49AD"/>
    <w:rsid w:val="001A5C17"/>
    <w:rsid w:val="001A6886"/>
    <w:rsid w:val="001A6B94"/>
    <w:rsid w:val="001B4CD5"/>
    <w:rsid w:val="001B6A7A"/>
    <w:rsid w:val="001E2AFF"/>
    <w:rsid w:val="001E5946"/>
    <w:rsid w:val="001F0D20"/>
    <w:rsid w:val="001F12FB"/>
    <w:rsid w:val="001F3FBE"/>
    <w:rsid w:val="00200CD7"/>
    <w:rsid w:val="00220F6E"/>
    <w:rsid w:val="00224717"/>
    <w:rsid w:val="002405CE"/>
    <w:rsid w:val="0024410B"/>
    <w:rsid w:val="0024482F"/>
    <w:rsid w:val="00251B1B"/>
    <w:rsid w:val="00251C0C"/>
    <w:rsid w:val="00262A47"/>
    <w:rsid w:val="00267326"/>
    <w:rsid w:val="00267372"/>
    <w:rsid w:val="00273EA5"/>
    <w:rsid w:val="002762DC"/>
    <w:rsid w:val="00286DAB"/>
    <w:rsid w:val="002B43D4"/>
    <w:rsid w:val="002C5A63"/>
    <w:rsid w:val="002C6B69"/>
    <w:rsid w:val="002D401F"/>
    <w:rsid w:val="002D5F88"/>
    <w:rsid w:val="00321930"/>
    <w:rsid w:val="003326B3"/>
    <w:rsid w:val="0034258D"/>
    <w:rsid w:val="00350E5F"/>
    <w:rsid w:val="0035192D"/>
    <w:rsid w:val="00354E7E"/>
    <w:rsid w:val="003612B6"/>
    <w:rsid w:val="003614C8"/>
    <w:rsid w:val="00367CC1"/>
    <w:rsid w:val="00375BB5"/>
    <w:rsid w:val="00390541"/>
    <w:rsid w:val="003C79E2"/>
    <w:rsid w:val="003E0106"/>
    <w:rsid w:val="003E0ECF"/>
    <w:rsid w:val="003E1011"/>
    <w:rsid w:val="003E3206"/>
    <w:rsid w:val="003E445A"/>
    <w:rsid w:val="003F29F1"/>
    <w:rsid w:val="003F5DA5"/>
    <w:rsid w:val="0040506B"/>
    <w:rsid w:val="00422827"/>
    <w:rsid w:val="0042615D"/>
    <w:rsid w:val="00437751"/>
    <w:rsid w:val="00443717"/>
    <w:rsid w:val="004474A8"/>
    <w:rsid w:val="004567C0"/>
    <w:rsid w:val="004710E8"/>
    <w:rsid w:val="00472367"/>
    <w:rsid w:val="004A7348"/>
    <w:rsid w:val="004C52B9"/>
    <w:rsid w:val="004C73C3"/>
    <w:rsid w:val="004D33CA"/>
    <w:rsid w:val="004D3D3B"/>
    <w:rsid w:val="004D523B"/>
    <w:rsid w:val="004D73FF"/>
    <w:rsid w:val="004D7E0D"/>
    <w:rsid w:val="004E7645"/>
    <w:rsid w:val="00500EAF"/>
    <w:rsid w:val="0051017D"/>
    <w:rsid w:val="005172E9"/>
    <w:rsid w:val="0052208E"/>
    <w:rsid w:val="00527E50"/>
    <w:rsid w:val="00533E75"/>
    <w:rsid w:val="00534DA6"/>
    <w:rsid w:val="00535D27"/>
    <w:rsid w:val="00536BDF"/>
    <w:rsid w:val="00537B7E"/>
    <w:rsid w:val="0055424E"/>
    <w:rsid w:val="00570DE3"/>
    <w:rsid w:val="00573349"/>
    <w:rsid w:val="00574398"/>
    <w:rsid w:val="00581AAA"/>
    <w:rsid w:val="00586476"/>
    <w:rsid w:val="00586DD1"/>
    <w:rsid w:val="005A517A"/>
    <w:rsid w:val="005B0A9C"/>
    <w:rsid w:val="005B53F5"/>
    <w:rsid w:val="005D4C84"/>
    <w:rsid w:val="005E0835"/>
    <w:rsid w:val="005E61E6"/>
    <w:rsid w:val="005E6DE9"/>
    <w:rsid w:val="005E7E27"/>
    <w:rsid w:val="005F24DB"/>
    <w:rsid w:val="00602D2F"/>
    <w:rsid w:val="00611ADE"/>
    <w:rsid w:val="00620C8F"/>
    <w:rsid w:val="00625BBB"/>
    <w:rsid w:val="0063175B"/>
    <w:rsid w:val="006349E0"/>
    <w:rsid w:val="00641C4D"/>
    <w:rsid w:val="00641F3F"/>
    <w:rsid w:val="00660240"/>
    <w:rsid w:val="00667BBF"/>
    <w:rsid w:val="006731B0"/>
    <w:rsid w:val="00687BF7"/>
    <w:rsid w:val="00691E55"/>
    <w:rsid w:val="006B0711"/>
    <w:rsid w:val="006B6AF0"/>
    <w:rsid w:val="006C23D6"/>
    <w:rsid w:val="006C3994"/>
    <w:rsid w:val="006D4A07"/>
    <w:rsid w:val="006D5B2F"/>
    <w:rsid w:val="006E6629"/>
    <w:rsid w:val="006E6C8B"/>
    <w:rsid w:val="006E7CB0"/>
    <w:rsid w:val="006F170D"/>
    <w:rsid w:val="0070361E"/>
    <w:rsid w:val="00707B89"/>
    <w:rsid w:val="007125C9"/>
    <w:rsid w:val="007139D2"/>
    <w:rsid w:val="00721701"/>
    <w:rsid w:val="00731182"/>
    <w:rsid w:val="00733782"/>
    <w:rsid w:val="00733CE5"/>
    <w:rsid w:val="00752F6B"/>
    <w:rsid w:val="00762333"/>
    <w:rsid w:val="00782E6A"/>
    <w:rsid w:val="00785D14"/>
    <w:rsid w:val="007B0A12"/>
    <w:rsid w:val="007C1179"/>
    <w:rsid w:val="007D2B3D"/>
    <w:rsid w:val="007D649A"/>
    <w:rsid w:val="007D7135"/>
    <w:rsid w:val="007E4A9F"/>
    <w:rsid w:val="007F0B2C"/>
    <w:rsid w:val="007F1DF3"/>
    <w:rsid w:val="00832CD4"/>
    <w:rsid w:val="0083341A"/>
    <w:rsid w:val="00845A95"/>
    <w:rsid w:val="00854411"/>
    <w:rsid w:val="00873435"/>
    <w:rsid w:val="00875774"/>
    <w:rsid w:val="008768FA"/>
    <w:rsid w:val="00884617"/>
    <w:rsid w:val="00896A19"/>
    <w:rsid w:val="008C2426"/>
    <w:rsid w:val="008D50AE"/>
    <w:rsid w:val="008F2D78"/>
    <w:rsid w:val="008F4E14"/>
    <w:rsid w:val="009010B2"/>
    <w:rsid w:val="00904224"/>
    <w:rsid w:val="00905853"/>
    <w:rsid w:val="00910EBC"/>
    <w:rsid w:val="0091725F"/>
    <w:rsid w:val="009252BB"/>
    <w:rsid w:val="009258D2"/>
    <w:rsid w:val="00935547"/>
    <w:rsid w:val="00940374"/>
    <w:rsid w:val="00941248"/>
    <w:rsid w:val="00953AF3"/>
    <w:rsid w:val="00963EF0"/>
    <w:rsid w:val="009825EB"/>
    <w:rsid w:val="00983C31"/>
    <w:rsid w:val="009868E0"/>
    <w:rsid w:val="00991F0D"/>
    <w:rsid w:val="00997B99"/>
    <w:rsid w:val="009B1B15"/>
    <w:rsid w:val="009B7662"/>
    <w:rsid w:val="009D4684"/>
    <w:rsid w:val="009E3414"/>
    <w:rsid w:val="009F6BCE"/>
    <w:rsid w:val="00A01E79"/>
    <w:rsid w:val="00A209A2"/>
    <w:rsid w:val="00A220C2"/>
    <w:rsid w:val="00A2646D"/>
    <w:rsid w:val="00A344A5"/>
    <w:rsid w:val="00A42EAB"/>
    <w:rsid w:val="00A53A2B"/>
    <w:rsid w:val="00A639E4"/>
    <w:rsid w:val="00A67D52"/>
    <w:rsid w:val="00A711AE"/>
    <w:rsid w:val="00A76606"/>
    <w:rsid w:val="00A86933"/>
    <w:rsid w:val="00A86C65"/>
    <w:rsid w:val="00A90BCF"/>
    <w:rsid w:val="00AA5E33"/>
    <w:rsid w:val="00AB5E48"/>
    <w:rsid w:val="00AB7844"/>
    <w:rsid w:val="00AC3834"/>
    <w:rsid w:val="00AC489D"/>
    <w:rsid w:val="00AD0EEA"/>
    <w:rsid w:val="00AE2394"/>
    <w:rsid w:val="00AE72CA"/>
    <w:rsid w:val="00AF2C84"/>
    <w:rsid w:val="00AF42D6"/>
    <w:rsid w:val="00B0162B"/>
    <w:rsid w:val="00B06532"/>
    <w:rsid w:val="00B11AD6"/>
    <w:rsid w:val="00B24267"/>
    <w:rsid w:val="00B331F0"/>
    <w:rsid w:val="00B33ACC"/>
    <w:rsid w:val="00B41466"/>
    <w:rsid w:val="00B4180D"/>
    <w:rsid w:val="00B43583"/>
    <w:rsid w:val="00B45DB1"/>
    <w:rsid w:val="00B46CE7"/>
    <w:rsid w:val="00B71613"/>
    <w:rsid w:val="00B84873"/>
    <w:rsid w:val="00B903A5"/>
    <w:rsid w:val="00B9445B"/>
    <w:rsid w:val="00BB2BB6"/>
    <w:rsid w:val="00BD154A"/>
    <w:rsid w:val="00BE0AA3"/>
    <w:rsid w:val="00BE1497"/>
    <w:rsid w:val="00BE28CD"/>
    <w:rsid w:val="00BE2A21"/>
    <w:rsid w:val="00BE4029"/>
    <w:rsid w:val="00C00A06"/>
    <w:rsid w:val="00C01480"/>
    <w:rsid w:val="00C0411E"/>
    <w:rsid w:val="00C078B8"/>
    <w:rsid w:val="00C16DBF"/>
    <w:rsid w:val="00C2248D"/>
    <w:rsid w:val="00C35D60"/>
    <w:rsid w:val="00C414E3"/>
    <w:rsid w:val="00C44CB9"/>
    <w:rsid w:val="00C620C3"/>
    <w:rsid w:val="00C67D9F"/>
    <w:rsid w:val="00C82C4D"/>
    <w:rsid w:val="00C90ECD"/>
    <w:rsid w:val="00CB265F"/>
    <w:rsid w:val="00CB4132"/>
    <w:rsid w:val="00CB609D"/>
    <w:rsid w:val="00CC2619"/>
    <w:rsid w:val="00CD117B"/>
    <w:rsid w:val="00CD147E"/>
    <w:rsid w:val="00CD1FF9"/>
    <w:rsid w:val="00CD4C33"/>
    <w:rsid w:val="00CE47BF"/>
    <w:rsid w:val="00CE4A6B"/>
    <w:rsid w:val="00CE5DC9"/>
    <w:rsid w:val="00CF2287"/>
    <w:rsid w:val="00CF4F05"/>
    <w:rsid w:val="00D30611"/>
    <w:rsid w:val="00D33A02"/>
    <w:rsid w:val="00D33A2C"/>
    <w:rsid w:val="00D403D7"/>
    <w:rsid w:val="00D469C6"/>
    <w:rsid w:val="00D46E20"/>
    <w:rsid w:val="00D61257"/>
    <w:rsid w:val="00D6680F"/>
    <w:rsid w:val="00D845D7"/>
    <w:rsid w:val="00D91EC1"/>
    <w:rsid w:val="00D94364"/>
    <w:rsid w:val="00DA00A6"/>
    <w:rsid w:val="00DB0F5A"/>
    <w:rsid w:val="00DB15BD"/>
    <w:rsid w:val="00DB5D0A"/>
    <w:rsid w:val="00DB6873"/>
    <w:rsid w:val="00DB6B54"/>
    <w:rsid w:val="00DC2CC2"/>
    <w:rsid w:val="00DC4490"/>
    <w:rsid w:val="00DF5AA3"/>
    <w:rsid w:val="00E04D22"/>
    <w:rsid w:val="00E30FC6"/>
    <w:rsid w:val="00E42213"/>
    <w:rsid w:val="00E4638A"/>
    <w:rsid w:val="00E47262"/>
    <w:rsid w:val="00E51141"/>
    <w:rsid w:val="00E5696D"/>
    <w:rsid w:val="00E6174E"/>
    <w:rsid w:val="00E650B4"/>
    <w:rsid w:val="00E72FD5"/>
    <w:rsid w:val="00E768EE"/>
    <w:rsid w:val="00E957A0"/>
    <w:rsid w:val="00EA495C"/>
    <w:rsid w:val="00EA4B5F"/>
    <w:rsid w:val="00EB0A74"/>
    <w:rsid w:val="00EC0D1E"/>
    <w:rsid w:val="00EC5033"/>
    <w:rsid w:val="00EC7AEC"/>
    <w:rsid w:val="00EE1320"/>
    <w:rsid w:val="00EE3FB2"/>
    <w:rsid w:val="00EF4D91"/>
    <w:rsid w:val="00F12546"/>
    <w:rsid w:val="00F22842"/>
    <w:rsid w:val="00F26E3B"/>
    <w:rsid w:val="00F35CC9"/>
    <w:rsid w:val="00F44B89"/>
    <w:rsid w:val="00F45D67"/>
    <w:rsid w:val="00F5125E"/>
    <w:rsid w:val="00F52654"/>
    <w:rsid w:val="00F60DBC"/>
    <w:rsid w:val="00F76625"/>
    <w:rsid w:val="00F87A54"/>
    <w:rsid w:val="00F9435D"/>
    <w:rsid w:val="00F953FB"/>
    <w:rsid w:val="00F97694"/>
    <w:rsid w:val="00FB245F"/>
    <w:rsid w:val="00FB2F65"/>
    <w:rsid w:val="00FB3B50"/>
    <w:rsid w:val="00FB60D5"/>
    <w:rsid w:val="00FE588C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2885D"/>
  <w15:docId w15:val="{E298024F-C6A7-41BE-9A95-135ED8C3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C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284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22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2FA3-95EC-47DA-8268-60D45A1C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East of England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LEWIS, Gary (THE GROVE MEDICAL CENTRE)</cp:lastModifiedBy>
  <cp:revision>7</cp:revision>
  <dcterms:created xsi:type="dcterms:W3CDTF">2022-07-13T13:34:00Z</dcterms:created>
  <dcterms:modified xsi:type="dcterms:W3CDTF">2022-07-21T07:07:00Z</dcterms:modified>
</cp:coreProperties>
</file>